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media/image1.jpeg" ContentType="image/jpeg"/>
  <Override PartName="/word/media/image2.wmf" ContentType="image/x-wmf"/>
  <Override PartName="/word/embeddings/oleObject1.bin" ContentType="application/vnd.openxmlformats-officedocument.oleObjec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Override PartName="/customXml/item2.xml" ContentType="application/xml"/>
  <Override PartName="/customXml/itemProps2.xml" ContentType="application/vnd.openxmlformats-officedocument.customXmlProperties+xml"/>
  <Override PartName="/customXml/_rels/item1.xml.rels" ContentType="application/vnd.openxmlformats-package.relationships+xml"/>
  <Override PartName="/customXml/_rels/item2.xml.rels" ContentType="application/vnd.openxmlformats-package.relationships+xml"/>
  <Override PartName="/customXml/_rels/item3.xml.rels" ContentType="application/vnd.openxmlformats-package.relationships+xml"/>
  <Override PartName="/customXml/item3.xml" ContentType="application/xml"/>
  <Override PartName="/_rels/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rPr/>
      </w:pPr>
      <w:r>
        <w:rPr/>
        <w:drawing>
          <wp:anchor behindDoc="1" distT="0" distB="0" distL="0" distR="0" simplePos="0" locked="0" layoutInCell="1" allowOverlap="1" relativeHeight="2">
            <wp:simplePos x="0" y="0"/>
            <wp:positionH relativeFrom="column">
              <wp:posOffset>1428750</wp:posOffset>
            </wp:positionH>
            <wp:positionV relativeFrom="paragraph">
              <wp:posOffset>200025</wp:posOffset>
            </wp:positionV>
            <wp:extent cx="3395980" cy="234315"/>
            <wp:effectExtent l="0" t="0" r="0" b="0"/>
            <wp:wrapNone/>
            <wp:docPr id="1" name="Obraz 1" descr="kol po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 descr="kol pol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980" cy="234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  <w:object>
          <v:shapetype id="_x0000_tole_rId3" coordsize="21600,21600" o:spt="ole_rId3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le_rId3" type="_x0000_tole_rId3" style="width:49.5pt;height:63pt;mso-wrap-distance-right:0pt" filled="f" o:ole="">
            <v:imagedata r:id="rId4" o:title=""/>
          </v:shape>
          <o:OLEObject Type="Embed" ProgID="CorelDraw.Graphic.15" ShapeID="ole_rId3" DrawAspect="Content" ObjectID="_545112387" r:id="rId3"/>
        </w:objec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SYLABUS ZAJĘĆ</w:t>
      </w:r>
    </w:p>
    <w:p>
      <w:pPr>
        <w:pStyle w:val="Normal"/>
        <w:spacing w:lineRule="auto" w:line="276"/>
        <w:jc w:val="center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  <w:t>Informacje ogólne</w:t>
      </w:r>
    </w:p>
    <w:p>
      <w:pPr>
        <w:pStyle w:val="Normal"/>
        <w:spacing w:lineRule="auto" w:line="276"/>
        <w:rPr>
          <w:rFonts w:eastAsia="Calibri"/>
          <w:b/>
          <w:spacing w:val="30"/>
          <w:lang w:eastAsia="en-US"/>
        </w:rPr>
      </w:pPr>
      <w:r>
        <w:rPr>
          <w:rFonts w:eastAsia="Calibri"/>
          <w:b/>
          <w:spacing w:val="30"/>
          <w:lang w:eastAsia="en-US"/>
        </w:rPr>
      </w:r>
    </w:p>
    <w:tbl>
      <w:tblPr>
        <w:tblW w:w="9356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4720"/>
        <w:gridCol w:w="4635"/>
      </w:tblGrid>
      <w:tr>
        <w:trPr>
          <w:trHeight w:val="397" w:hRule="atLeast"/>
        </w:trPr>
        <w:tc>
          <w:tcPr>
            <w:tcW w:w="935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Nazwa ZAJĘĆ: </w:t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Kreatywne myślenie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Rodzaj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Obieralny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Wydział PUM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Wydział Nauk o Zdrowiu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Kierunek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Calibri"/>
                <w:i/>
                <w:iCs/>
                <w:lang w:eastAsia="en-US"/>
              </w:rPr>
              <w:t>Psychologia zdrowia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Specjalność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Poziom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vertAlign w:val="superscript"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jednolite magisterskie X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I stopnia</w:t>
            </w:r>
            <w:r>
              <w:rPr>
                <w:rFonts w:eastAsia="Calibri"/>
                <w:b/>
                <w:bCs/>
                <w:i/>
                <w:iCs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□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II stopnia □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bCs/>
                <w:i/>
                <w:lang w:eastAsia="en-US"/>
              </w:rPr>
              <w:t>stacjonarne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Rok studiów /semestr studiów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I rok, semestr letni 202</w:t>
            </w:r>
            <w:r>
              <w:rPr>
                <w:rFonts w:eastAsia="Calibri"/>
                <w:i/>
                <w:iCs/>
                <w:lang w:eastAsia="en-US"/>
              </w:rPr>
              <w:t>5</w:t>
            </w:r>
            <w:r>
              <w:rPr>
                <w:rFonts w:eastAsia="Calibri"/>
                <w:i/>
                <w:iCs/>
                <w:lang w:eastAsia="en-US"/>
              </w:rPr>
              <w:t>/202</w:t>
            </w:r>
            <w:r>
              <w:rPr>
                <w:rFonts w:eastAsia="Calibri"/>
                <w:i/>
                <w:iCs/>
                <w:lang w:eastAsia="en-US"/>
              </w:rPr>
              <w:t>6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Liczba przypisanych punktów ECTS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3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Formy prowadzenia zajęć (liczba godzin)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Seminaria – 20h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Sposoby weryfikacji i oceny efektów uczenia się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zaliczenie na ocenę:</w:t>
            </w:r>
          </w:p>
          <w:p>
            <w:pPr>
              <w:pStyle w:val="Normal"/>
              <w:rPr>
                <w:rFonts w:eastAsia="Calibri"/>
                <w:bCs/>
                <w:i/>
                <w:i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/>
              <w:tab/>
            </w:r>
            <w:r>
              <w:rPr>
                <w:rFonts w:eastAsia="Calibri"/>
                <w:i/>
                <w:iCs/>
                <w:lang w:eastAsia="en-US"/>
              </w:rPr>
              <w:t>opisowe</w:t>
            </w:r>
          </w:p>
          <w:p>
            <w:pPr>
              <w:pStyle w:val="Normal"/>
              <w:rPr>
                <w:rFonts w:eastAsia="Calibri"/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□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 xml:space="preserve">         </w:t>
            </w:r>
            <w:r>
              <w:rPr>
                <w:rFonts w:eastAsia="Calibri"/>
                <w:b w:val="false"/>
                <w:bCs w:val="false"/>
                <w:i/>
                <w:iCs/>
                <w:lang w:eastAsia="en-US"/>
              </w:rPr>
              <w:t>testowe</w:t>
            </w:r>
          </w:p>
          <w:p>
            <w:pPr>
              <w:pStyle w:val="Normal"/>
              <w:rPr>
                <w:rFonts w:eastAsia="Calibri"/>
                <w:b/>
                <w:bCs/>
                <w:i/>
                <w:i/>
                <w:iCs/>
                <w:lang w:eastAsia="en-US"/>
              </w:rPr>
            </w:pPr>
            <w:r>
              <w:rPr>
                <w:rFonts w:eastAsia="Calibri"/>
                <w:b/>
                <w:bCs/>
                <w:i/>
                <w:iCs/>
                <w:lang w:eastAsia="en-US"/>
              </w:rPr>
              <w:t>X</w:t>
            </w:r>
            <w:r>
              <w:rPr/>
              <w:tab/>
            </w:r>
            <w:r>
              <w:rPr>
                <w:rFonts w:eastAsia="Calibri"/>
                <w:b/>
                <w:bCs/>
                <w:i/>
                <w:iCs/>
                <w:lang w:eastAsia="en-US"/>
              </w:rPr>
              <w:t>praktyczne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□</w:t>
            </w:r>
            <w:r>
              <w:rPr>
                <w:rFonts w:eastAsia="Calibri"/>
                <w:i/>
                <w:lang w:eastAsia="en-US"/>
              </w:rPr>
              <w:tab/>
              <w:t>ustne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numPr>
                <w:ilvl w:val="0"/>
                <w:numId w:val="3"/>
              </w:numPr>
              <w:ind w:hanging="360" w:left="347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zaliczenie bez oceny</w:t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</w:r>
          </w:p>
          <w:p>
            <w:pPr>
              <w:pStyle w:val="Normal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- egzamin końcowy:</w:t>
            </w:r>
          </w:p>
          <w:p>
            <w:pPr>
              <w:pStyle w:val="Normal"/>
              <w:numPr>
                <w:ilvl w:val="0"/>
                <w:numId w:val="2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opisowy</w:t>
            </w:r>
          </w:p>
          <w:p>
            <w:pPr>
              <w:pStyle w:val="Normal"/>
              <w:numPr>
                <w:ilvl w:val="0"/>
                <w:numId w:val="2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testowy</w:t>
            </w:r>
          </w:p>
          <w:p>
            <w:pPr>
              <w:pStyle w:val="Normal"/>
              <w:numPr>
                <w:ilvl w:val="0"/>
                <w:numId w:val="2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praktyczny</w:t>
            </w:r>
          </w:p>
          <w:p>
            <w:pPr>
              <w:pStyle w:val="Normal"/>
              <w:numPr>
                <w:ilvl w:val="0"/>
                <w:numId w:val="2"/>
              </w:numPr>
              <w:ind w:hanging="657" w:left="72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ustny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Kierownik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Cs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Prof. dr hab. n. zdr. Beata Karakiewicz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Adiunkt dydaktyczny lub osoba odpowiedzialna za przedmiot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mgr Krzysztof Dąbrowski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Nazwa i dane kontaktowe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/>
                <w:lang w:eastAsia="en-US"/>
              </w:rPr>
              <w:t>Katedra Medycyny Społecznej.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Zakład Medycyny Społecznej i Zdrowia Publicznego; Pomorski Uniwersytet Medyczny w Szczecinie,</w:t>
            </w:r>
            <w:r>
              <w:rPr>
                <w:rFonts w:eastAsia="Calibri"/>
                <w:lang w:eastAsia="en-US"/>
              </w:rPr>
              <w:t xml:space="preserve"> </w:t>
            </w:r>
            <w:r>
              <w:rPr/>
              <w:br/>
            </w:r>
            <w:r>
              <w:rPr>
                <w:rFonts w:eastAsia="Calibri"/>
                <w:lang w:eastAsia="en-US"/>
              </w:rPr>
              <w:t>ul. Żołnierska 48, pok. 303,</w:t>
            </w:r>
          </w:p>
          <w:p>
            <w:pPr>
              <w:pStyle w:val="NormalWeb"/>
              <w:spacing w:beforeAutospacing="0" w:before="0" w:afterAutospacing="0" w:after="0"/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iCs/>
                <w:lang w:eastAsia="en-US"/>
              </w:rPr>
              <w:t>71-210 Szczecin. tel. +48 91 48 00 920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Strona internetowa jednostki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https://www.pum.edu.pl/studenci/informacje_z_jednostek/wnoz/katedra_medycyny_spolecznej/zaklad_medycyny_spolecznej_i_zdrowia_publicznego/</w:t>
            </w:r>
          </w:p>
        </w:tc>
      </w:tr>
      <w:tr>
        <w:trPr>
          <w:trHeight w:val="397" w:hRule="atLeast"/>
        </w:trPr>
        <w:tc>
          <w:tcPr>
            <w:tcW w:w="4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Język prowadzenia zajęć</w:t>
            </w:r>
          </w:p>
        </w:tc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tabs>
                <w:tab w:val="clear" w:pos="708"/>
                <w:tab w:val="left" w:pos="4073" w:leader="none"/>
              </w:tabs>
              <w:rPr>
                <w:rFonts w:eastAsia="Calibri"/>
                <w:i/>
                <w:i/>
                <w:lang w:eastAsia="en-US"/>
              </w:rPr>
            </w:pPr>
            <w:r>
              <w:rPr>
                <w:rFonts w:eastAsia="Calibri"/>
                <w:b/>
                <w:i/>
                <w:lang w:eastAsia="en-US"/>
              </w:rPr>
              <w:t>polski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</w:r>
    </w:p>
    <w:p>
      <w:pPr>
        <w:pStyle w:val="Normal"/>
        <w:spacing w:lineRule="auto" w:line="276" w:before="0" w:after="200"/>
        <w:rPr>
          <w:rFonts w:eastAsia="Calibri"/>
          <w:b/>
          <w:lang w:eastAsia="en-US"/>
        </w:rPr>
      </w:pPr>
      <w:r>
        <w:rPr>
          <w:rFonts w:eastAsia="Calibri"/>
          <w:b/>
          <w:bCs/>
          <w:lang w:eastAsia="en-US"/>
        </w:rPr>
        <w:t xml:space="preserve">     </w:t>
      </w:r>
      <w:r>
        <w:rPr>
          <w:rFonts w:eastAsia="Calibri"/>
          <w:b/>
          <w:bCs/>
          <w:lang w:eastAsia="en-US"/>
        </w:rPr>
        <w:t>*zaznaczyć odpowiednio, zmieniając □ na X</w:t>
      </w:r>
    </w:p>
    <w:p>
      <w:pPr>
        <w:pStyle w:val="Normal"/>
        <w:spacing w:lineRule="auto" w:line="276" w:before="0" w:after="200"/>
        <w:jc w:val="center"/>
        <w:rPr>
          <w:rFonts w:eastAsia="Calibri"/>
          <w:b/>
          <w:bCs/>
          <w:lang w:eastAsia="en-US"/>
        </w:rPr>
      </w:pPr>
      <w:r>
        <w:rPr>
          <w:rFonts w:eastAsia="Calibri"/>
          <w:b/>
          <w:bCs/>
          <w:lang w:eastAsia="en-US"/>
        </w:rPr>
        <w:t>Informacje szczegółowe</w:t>
      </w:r>
    </w:p>
    <w:tbl>
      <w:tblPr>
        <w:tblW w:w="9552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90"/>
        <w:gridCol w:w="1890"/>
        <w:gridCol w:w="5272"/>
      </w:tblGrid>
      <w:tr>
        <w:trPr>
          <w:trHeight w:val="397" w:hRule="atLeast"/>
        </w:trPr>
        <w:tc>
          <w:tcPr>
            <w:tcW w:w="42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Cele zajęć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/>
              <w:t>Celem przedmiotu jest uzyskanie teoretycznej i praktycznej wiedzy na temat sposobów twórczego i efektywnego działania oraz rozwiązywania problemów w pracy indywidualnej i zespołowej, a także przedstawienie rozwiązań, mających za zadanie ukształtowanie pozytywnych nawyków, oddziałujących na kreatywność i skuteczność myślenia.</w:t>
            </w:r>
          </w:p>
        </w:tc>
      </w:tr>
      <w:tr>
        <w:trPr>
          <w:trHeight w:val="397" w:hRule="atLeast"/>
        </w:trPr>
        <w:tc>
          <w:tcPr>
            <w:tcW w:w="23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highlight w:val="yellow"/>
                <w:lang w:eastAsia="en-US"/>
              </w:rPr>
            </w:pPr>
            <w:r>
              <w:rPr>
                <w:rFonts w:eastAsia="Calibri"/>
                <w:lang w:eastAsia="en-US"/>
              </w:rPr>
              <w:t>Wymagania wstępne w zakresie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Wiedzy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/>
              <w:t>Wiedza z zakresu nauk społecznych - kompetencje bazowe na poziomie szkoły średniej.</w:t>
            </w:r>
          </w:p>
        </w:tc>
      </w:tr>
      <w:tr>
        <w:trPr>
          <w:trHeight w:val="397" w:hRule="atLeast"/>
        </w:trPr>
        <w:tc>
          <w:tcPr>
            <w:tcW w:w="239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Umiejętności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/>
              <w:t>Korzystanie z aktualnej wiedzy, organizowanie pracy własnej, praca w zespole.</w:t>
            </w:r>
          </w:p>
        </w:tc>
      </w:tr>
      <w:tr>
        <w:trPr>
          <w:trHeight w:val="397" w:hRule="atLeast"/>
        </w:trPr>
        <w:tc>
          <w:tcPr>
            <w:tcW w:w="2390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Kompetencji społecznych</w:t>
            </w:r>
          </w:p>
        </w:tc>
        <w:tc>
          <w:tcPr>
            <w:tcW w:w="52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Umiejętność pracy w grupie, identyfikowanie i przedstawianie własnych doświadczeń, wykazywanie cech lidera i umiejętność prezentowania własnych przemyśleń i wniosków</w:t>
            </w:r>
          </w:p>
        </w:tc>
      </w:tr>
    </w:tbl>
    <w:p>
      <w:pPr>
        <w:pStyle w:val="Normal"/>
        <w:spacing w:lineRule="auto" w:line="276" w:before="0" w:after="200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tbl>
      <w:tblPr>
        <w:tblW w:w="10065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1778"/>
        <w:gridCol w:w="2846"/>
        <w:gridCol w:w="472"/>
        <w:gridCol w:w="115"/>
        <w:gridCol w:w="616"/>
        <w:gridCol w:w="612"/>
        <w:gridCol w:w="611"/>
        <w:gridCol w:w="739"/>
        <w:gridCol w:w="485"/>
        <w:gridCol w:w="611"/>
        <w:gridCol w:w="620"/>
        <w:gridCol w:w="557"/>
        <w:gridCol w:w="1"/>
      </w:tblGrid>
      <w:tr>
        <w:trPr>
          <w:trHeight w:val="400" w:hRule="atLeast"/>
        </w:trPr>
        <w:tc>
          <w:tcPr>
            <w:tcW w:w="1006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EFEKTY UCZENIA SIĘ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3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Student, który zaliczył ZAJĘCIA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wie/umie/potrafi:</w:t>
            </w:r>
          </w:p>
        </w:tc>
        <w:tc>
          <w:tcPr>
            <w:tcW w:w="2578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SYMBOL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(odniesienie do)</w:t>
            </w:r>
          </w:p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efektów uczenia się dla kierunku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Sposób weryfikacji efektów UCZENIA SIĘ*</w:t>
            </w:r>
          </w:p>
          <w:p>
            <w:pPr>
              <w:pStyle w:val="Normal"/>
              <w:spacing w:lineRule="auto" w:line="276"/>
              <w:jc w:val="center"/>
              <w:rPr>
                <w:b/>
                <w:strike/>
              </w:rPr>
            </w:pPr>
            <w:r>
              <w:rPr>
                <w:b/>
                <w:strike/>
              </w:rPr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W01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spacing w:lineRule="auto" w:line="240" w:beforeAutospacing="0" w:before="240" w:afterAutospacing="0" w:after="0"/>
              <w:jc w:val="left"/>
              <w:rPr>
                <w:rFonts w:ascii="Times New Roman" w:hAnsi="Times New Roman" w:eastAsia="Times New Roman" w:cs="Times New Roman"/>
                <w:color w:themeColor="text1" w:val="000000"/>
                <w:kern w:val="2"/>
                <w:sz w:val="22"/>
                <w:szCs w:val="22"/>
                <w:lang w:val="pl-PL"/>
              </w:rPr>
            </w:pPr>
            <w:r>
              <w:rPr>
                <w:rFonts w:eastAsia="Times New Roman" w:cs="Times New Roman"/>
                <w:color w:themeColor="text1" w:val="000000"/>
                <w:sz w:val="22"/>
                <w:szCs w:val="22"/>
                <w:lang w:val="pl-PL"/>
              </w:rPr>
              <w:t>Wykorzystywać wiedzę na temat zjawisk społecznych i psychologii społecznej na poziomie podstawowym, a także pogłębionym w obszarze wybranych zagadnień w kontekście treningu twórczości i kreatywności.</w:t>
            </w:r>
          </w:p>
        </w:tc>
        <w:tc>
          <w:tcPr>
            <w:tcW w:w="2578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K_W11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160"/>
              <w:ind w:left="0" w:right="0"/>
              <w:jc w:val="left"/>
              <w:rPr>
                <w:rFonts w:ascii="Times New Roman" w:hAnsi="Times New Roman" w:eastAsia="Times New Roman" w:cs="Times New Roman"/>
                <w:sz w:val="22"/>
                <w:szCs w:val="22"/>
                <w:lang w:val="pl-PL"/>
              </w:rPr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Wykorzystywać umiejętności efektywnego komunikowania się oraz negocjacji, obserwacji i samoobserwacji oraz rozwiązywania sytuacji trudnych w konflikcie</w:t>
            </w:r>
          </w:p>
        </w:tc>
        <w:tc>
          <w:tcPr>
            <w:tcW w:w="2578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K_U14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86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U02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Zastosować podstawowe reguły poprawnego rozumowania</w:t>
            </w:r>
          </w:p>
        </w:tc>
        <w:tc>
          <w:tcPr>
            <w:tcW w:w="2578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76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K_U71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ascii="Times New Roman" w:hAnsi="Times New Roman" w:eastAsia="Times New Roman" w:cs="Times New Roman"/>
                <w:sz w:val="22"/>
                <w:szCs w:val="22"/>
                <w:lang w:val="pl-PL"/>
              </w:rPr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Pracować w zespole, aktywnie uczestniczyć w pracy grup (zespołów) i organizacji</w:t>
            </w:r>
          </w:p>
        </w:tc>
        <w:tc>
          <w:tcPr>
            <w:tcW w:w="2578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K_K03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/>
            </w:pPr>
            <w:r>
              <w:rPr>
                <w:rFonts w:eastAsia="Times New Roman" w:cs="Times New Roman"/>
                <w:sz w:val="22"/>
                <w:szCs w:val="22"/>
                <w:lang w:val="pl-PL"/>
              </w:rPr>
              <w:t>Poddaje krytycznej analizie własne poglądy oraz jest gotowy do ich zmiany otrzymując nowe dane i argumenty</w:t>
            </w:r>
          </w:p>
        </w:tc>
        <w:tc>
          <w:tcPr>
            <w:tcW w:w="2578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K_K06</w:t>
            </w:r>
          </w:p>
        </w:tc>
        <w:tc>
          <w:tcPr>
            <w:tcW w:w="2273" w:type="dxa"/>
            <w:gridSpan w:val="4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O, S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2" w:type="dxa"/>
            <w:gridSpan w:val="12"/>
            <w:tcBorders>
              <w:top w:val="single" w:sz="4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spacing w:lineRule="auto" w:line="276"/>
              <w:rPr>
                <w:rFonts w:eastAsia="Calibri"/>
                <w:b/>
                <w:lang w:eastAsia="en-US"/>
              </w:rPr>
            </w:pPr>
            <w:r>
              <w:rPr>
                <w:rFonts w:eastAsia="Batang"/>
                <w:b/>
              </w:rPr>
              <w:t>Tabela efektów UCZENIA SIĘ</w:t>
            </w:r>
            <w:r>
              <w:rPr>
                <w:rFonts w:eastAsia="Calibri"/>
                <w:b/>
                <w:lang w:eastAsia="en-US"/>
              </w:rPr>
              <w:t xml:space="preserve"> w odniesieniu do formy zajęć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23" w:hRule="atLeast"/>
          <w:cantSplit w:val="true"/>
        </w:trPr>
        <w:tc>
          <w:tcPr>
            <w:tcW w:w="1778" w:type="dxa"/>
            <w:vMerge w:val="restart"/>
            <w:tcBorders>
              <w:top w:val="single" w:sz="6" w:space="0" w:color="000000"/>
              <w:left w:val="single" w:sz="6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lp. efektu uczenia się</w:t>
            </w:r>
          </w:p>
        </w:tc>
        <w:tc>
          <w:tcPr>
            <w:tcW w:w="3433" w:type="dxa"/>
            <w:gridSpan w:val="3"/>
            <w:vMerge w:val="restart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Efekty uczenia się</w:t>
            </w:r>
          </w:p>
        </w:tc>
        <w:tc>
          <w:tcPr>
            <w:tcW w:w="4852" w:type="dxa"/>
            <w:gridSpan w:val="9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Forma zajęć</w:t>
            </w:r>
          </w:p>
        </w:tc>
      </w:tr>
      <w:tr>
        <w:trPr>
          <w:trHeight w:val="1561" w:hRule="atLeast"/>
          <w:cantSplit w:val="true"/>
        </w:trPr>
        <w:tc>
          <w:tcPr>
            <w:tcW w:w="1778" w:type="dxa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3433" w:type="dxa"/>
            <w:gridSpan w:val="3"/>
            <w:vMerge w:val="continue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b/>
              </w:rPr>
            </w:pPr>
            <w:r>
              <w:rPr>
                <w:b/>
              </w:rPr>
            </w:r>
          </w:p>
        </w:tc>
        <w:tc>
          <w:tcPr>
            <w:tcW w:w="61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Wykład</w:t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b/>
              </w:rPr>
            </w:pPr>
            <w:r>
              <w:rPr>
                <w:b/>
              </w:rPr>
              <w:t>Seminarium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</w:t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jc w:val="center"/>
              <w:rPr>
                <w:rFonts w:eastAsia="Batang"/>
                <w:b/>
              </w:rPr>
            </w:pPr>
            <w:r>
              <w:rPr>
                <w:b/>
              </w:rPr>
              <w:t>Ćwiczenia kliniczne</w:t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Symulacje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textDirection w:val="btLr"/>
            <w:vAlign w:val="cente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E-learning</w:t>
            </w:r>
          </w:p>
        </w:tc>
        <w:tc>
          <w:tcPr>
            <w:tcW w:w="620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  <w:t>PWS</w:t>
            </w:r>
          </w:p>
        </w:tc>
        <w:tc>
          <w:tcPr>
            <w:tcW w:w="558" w:type="dxa"/>
            <w:gridSpan w:val="2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textDirection w:val="btLr"/>
          </w:tcPr>
          <w:p>
            <w:pPr>
              <w:pStyle w:val="Normal"/>
              <w:spacing w:lineRule="auto" w:line="276"/>
              <w:jc w:val="center"/>
              <w:rPr>
                <w:b/>
              </w:rPr>
            </w:pPr>
            <w:r>
              <w:rPr>
                <w:b/>
              </w:rPr>
            </w:r>
          </w:p>
        </w:tc>
      </w:tr>
      <w:tr>
        <w:trPr>
          <w:trHeight w:val="566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W01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K_W11</w:t>
            </w:r>
          </w:p>
        </w:tc>
        <w:tc>
          <w:tcPr>
            <w:tcW w:w="61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20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57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6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K_U14</w:t>
            </w:r>
          </w:p>
        </w:tc>
        <w:tc>
          <w:tcPr>
            <w:tcW w:w="61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20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57" w:type="dxa"/>
            <w:tcBorders>
              <w:top w:val="single" w:sz="6" w:space="0" w:color="000000"/>
              <w:left w:val="double" w:sz="4" w:space="0" w:color="000000"/>
              <w:bottom w:val="double" w:sz="4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64" w:hRule="exac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U02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76" w:beforeAutospacing="0" w:before="0" w:afterAutospacing="0" w:after="0"/>
              <w:ind w:left="0" w:right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K_U71</w:t>
            </w:r>
          </w:p>
        </w:tc>
        <w:tc>
          <w:tcPr>
            <w:tcW w:w="61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620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557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 w:before="0" w:after="200"/>
              <w:jc w:val="center"/>
              <w:rPr/>
            </w:pPr>
            <w:r>
              <w:rPr/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K01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K_K03</w:t>
            </w:r>
          </w:p>
        </w:tc>
        <w:tc>
          <w:tcPr>
            <w:tcW w:w="61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20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57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  <w:t>K02</w:t>
            </w:r>
          </w:p>
        </w:tc>
        <w:tc>
          <w:tcPr>
            <w:tcW w:w="3433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K_K06</w:t>
            </w:r>
          </w:p>
        </w:tc>
        <w:tc>
          <w:tcPr>
            <w:tcW w:w="616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rPr/>
            </w:pPr>
            <w:r>
              <w:rPr/>
            </w:r>
          </w:p>
        </w:tc>
        <w:tc>
          <w:tcPr>
            <w:tcW w:w="612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  <w:t>X</w:t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739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485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11" w:type="dxa"/>
            <w:tcBorders>
              <w:top w:val="single" w:sz="6" w:space="0" w:color="000000"/>
              <w:left w:val="double" w:sz="4" w:space="0" w:color="000000"/>
              <w:bottom w:val="single" w:sz="6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620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557" w:type="dxa"/>
            <w:tcBorders>
              <w:top w:val="double" w:sz="4" w:space="0" w:color="000000"/>
              <w:left w:val="double" w:sz="4" w:space="0" w:color="000000"/>
              <w:bottom w:val="single" w:sz="6" w:space="0" w:color="000000"/>
              <w:right w:val="single" w:sz="6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76"/>
              <w:jc w:val="center"/>
              <w:rPr/>
            </w:pPr>
            <w:r>
              <w:rPr/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TABELA TREŚCI PROGRAMOWYCH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Lp. treści programowej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Treści programowe</w:t>
            </w:r>
          </w:p>
        </w:tc>
        <w:tc>
          <w:tcPr>
            <w:tcW w:w="13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Liczba godzin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Odniesienie do efektów uczenia się do ZAJĘĆ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006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Semestr letni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72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Seminaria:</w:t>
            </w:r>
          </w:p>
        </w:tc>
        <w:tc>
          <w:tcPr>
            <w:tcW w:w="13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20</w:t>
            </w:r>
          </w:p>
        </w:tc>
        <w:tc>
          <w:tcPr>
            <w:tcW w:w="3623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61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1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Wprowadzenie do treningu twórczości - twórczość a kreatywność; cele i sposoby oddziaływania treningu twórczości.</w:t>
            </w:r>
          </w:p>
        </w:tc>
        <w:tc>
          <w:tcPr>
            <w:tcW w:w="13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K_W11, K_U14, K_U71, K_K03, K_K06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109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spacing w:lineRule="auto" w:line="259" w:beforeAutospacing="0" w:before="0" w:afterAutospacing="0" w:after="0"/>
              <w:jc w:val="left"/>
              <w:rPr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b w:val="false"/>
                <w:bCs w:val="false"/>
                <w:i/>
                <w:iCs/>
              </w:rPr>
              <w:t>Kreatywna integracja i budowanie twórczej atmosfery – podstawowy trening twórczy.</w:t>
            </w:r>
          </w:p>
        </w:tc>
        <w:tc>
          <w:tcPr>
            <w:tcW w:w="13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Twórcze rozwijanie kompetencji komunikacyjnych i kreatywne wykorzystanie środków językowych.</w:t>
            </w:r>
          </w:p>
        </w:tc>
        <w:tc>
          <w:tcPr>
            <w:tcW w:w="13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4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TK_4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  <w:lang w:eastAsia="en-US"/>
              </w:rPr>
            </w:pPr>
            <w:r>
              <w:rPr>
                <w:b w:val="false"/>
                <w:bCs w:val="false"/>
                <w:i/>
                <w:iCs/>
              </w:rPr>
              <w:t>Umiejętność znajdowania wyzwań i formułowania problemów w grupie.</w:t>
            </w:r>
          </w:p>
        </w:tc>
        <w:tc>
          <w:tcPr>
            <w:tcW w:w="13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255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</w:t>
            </w:r>
            <w:r>
              <w:rPr>
                <w:rFonts w:eastAsia="Calibri"/>
                <w:u w:val="single"/>
                <w:lang w:eastAsia="en-US"/>
              </w:rPr>
              <w:t>_</w:t>
            </w:r>
            <w:r>
              <w:rPr>
                <w:rFonts w:eastAsia="Calibri"/>
                <w:lang w:eastAsia="en-US"/>
              </w:rPr>
              <w:t>5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bidi w:val="0"/>
              <w:spacing w:lineRule="auto" w:line="259" w:beforeAutospacing="0" w:before="0" w:afterAutospacing="0" w:after="0"/>
              <w:ind w:left="0" w:right="0"/>
              <w:jc w:val="left"/>
              <w:rPr>
                <w:i/>
                <w:i/>
                <w:iCs/>
              </w:rPr>
            </w:pPr>
            <w:r>
              <w:rPr>
                <w:i/>
                <w:iCs/>
              </w:rPr>
              <w:t>Metoda myślenia projektowego.</w:t>
            </w:r>
          </w:p>
        </w:tc>
        <w:tc>
          <w:tcPr>
            <w:tcW w:w="13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TK_6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/>
              <w:jc w:val="left"/>
              <w:rPr>
                <w:b w:val="false"/>
                <w:bCs w:val="false"/>
                <w:i/>
                <w:i/>
                <w:iCs/>
              </w:rPr>
            </w:pPr>
            <w:r>
              <w:rPr>
                <w:b w:val="false"/>
                <w:bCs w:val="false"/>
                <w:i/>
                <w:iCs/>
              </w:rPr>
              <w:t>Wybrane ćwiczenia treningu twórczości z zakresu kreacji.</w:t>
            </w:r>
          </w:p>
        </w:tc>
        <w:tc>
          <w:tcPr>
            <w:tcW w:w="13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4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TK_7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/>
                <w:i/>
                <w:iCs/>
                <w:lang w:eastAsia="en-US"/>
              </w:rPr>
            </w:pPr>
            <w:r>
              <w:rPr>
                <w:rFonts w:eastAsia="Calibri"/>
                <w:i/>
                <w:iCs/>
                <w:lang w:eastAsia="en-US"/>
              </w:rPr>
              <w:t>Efektywna pomysłowość - inspiracja i potrzeba jako przyczyna kreatywności.</w:t>
            </w:r>
          </w:p>
        </w:tc>
        <w:tc>
          <w:tcPr>
            <w:tcW w:w="13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TK_8</w:t>
            </w:r>
          </w:p>
        </w:tc>
        <w:tc>
          <w:tcPr>
            <w:tcW w:w="33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lineRule="auto" w:line="259" w:beforeAutospacing="0" w:before="280" w:afterAutospacing="0" w:after="0"/>
              <w:jc w:val="left"/>
              <w:rPr/>
            </w:pPr>
            <w:r>
              <w:rPr>
                <w:rFonts w:eastAsia="Times New Roman" w:cs="Times New Roman"/>
                <w:i/>
                <w:iCs/>
                <w:color w:themeColor="text1" w:val="000000"/>
                <w:sz w:val="24"/>
                <w:szCs w:val="24"/>
                <w:lang w:val="pl-PL"/>
              </w:rPr>
              <w:t>Nawyk jako droga do efektywności - zasady zarządzania pracą kreatywną.</w:t>
            </w:r>
          </w:p>
        </w:tc>
        <w:tc>
          <w:tcPr>
            <w:tcW w:w="134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 w:val="false"/>
                <w:bCs w:val="false"/>
                <w:lang w:eastAsia="en-US"/>
              </w:rPr>
            </w:pPr>
            <w:r>
              <w:rPr>
                <w:rFonts w:eastAsia="Calibri"/>
                <w:b w:val="false"/>
                <w:bCs w:val="false"/>
                <w:lang w:eastAsia="en-US"/>
              </w:rPr>
              <w:t>2</w:t>
            </w:r>
          </w:p>
        </w:tc>
        <w:tc>
          <w:tcPr>
            <w:tcW w:w="3623" w:type="dxa"/>
            <w:gridSpan w:val="6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Zalecana literatura: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podstawowa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Kwaśniewska J.M.: </w:t>
            </w:r>
            <w:r>
              <w:rPr>
                <w:rFonts w:eastAsia="Calibri"/>
                <w:i/>
                <w:iCs/>
                <w:lang w:eastAsia="en-US"/>
              </w:rPr>
              <w:t>Droga do kreacji, czyli trening twórczości XXI w.</w:t>
            </w:r>
            <w:r>
              <w:rPr>
                <w:rFonts w:eastAsia="Calibri"/>
                <w:i w:val="false"/>
                <w:iCs w:val="false"/>
                <w:lang w:eastAsia="en-US"/>
              </w:rPr>
              <w:t>;</w:t>
            </w:r>
            <w:r>
              <w:rPr>
                <w:rFonts w:eastAsia="Calibri"/>
                <w:i/>
                <w:iCs/>
                <w:lang w:eastAsia="en-US"/>
              </w:rPr>
              <w:t xml:space="preserve"> </w:t>
            </w:r>
            <w:r>
              <w:rPr>
                <w:rFonts w:eastAsia="Calibri"/>
                <w:i w:val="false"/>
                <w:iCs w:val="false"/>
                <w:lang w:eastAsia="en-US"/>
              </w:rPr>
              <w:t>Wydawnictwo Naukowe PWN SA, Warszawa 2023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Literatura uzupełniająca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1. Burska K., Cieśla B., Jachimowska K., Kudra B.: </w:t>
            </w:r>
            <w:r>
              <w:rPr>
                <w:rFonts w:eastAsia="Calibri"/>
                <w:i/>
                <w:iCs/>
                <w:lang w:eastAsia="en-US"/>
              </w:rPr>
              <w:t>Kreatywność językowa w reklamie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Wydawnictwo Uniwersytetu Łódzkiego, Łódź 2016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2. Duhigg C.: </w:t>
            </w:r>
            <w:r>
              <w:rPr>
                <w:rFonts w:eastAsia="Calibri"/>
                <w:i/>
                <w:iCs/>
                <w:lang w:eastAsia="en-US"/>
              </w:rPr>
              <w:t>Mądrzej, szybciej, lepiej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Wydawnictwo Naukowe PWN SA, Warszawa 2016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3. Clear J.: </w:t>
            </w:r>
            <w:r>
              <w:rPr>
                <w:rFonts w:eastAsia="Calibri"/>
                <w:i/>
                <w:iCs/>
                <w:lang w:eastAsia="en-US"/>
              </w:rPr>
              <w:t>Atomowe nawyki. Drobne zmiany niezwykłe efekty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Galaktyka, Łódź 2019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300" w:hRule="atLeast"/>
        </w:trPr>
        <w:tc>
          <w:tcPr>
            <w:tcW w:w="1006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i w:val="false"/>
                <w:i w:val="false"/>
                <w:iCs w:val="false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4. Allen D.: </w:t>
            </w:r>
            <w:r>
              <w:rPr>
                <w:rFonts w:eastAsia="Calibri"/>
                <w:i/>
                <w:iCs/>
                <w:lang w:eastAsia="en-US"/>
              </w:rPr>
              <w:t>Getting things done, czyli sztuka bezstresowej efektywności</w:t>
            </w:r>
            <w:r>
              <w:rPr>
                <w:rFonts w:eastAsia="Calibri"/>
                <w:i w:val="false"/>
                <w:iCs w:val="false"/>
                <w:lang w:eastAsia="en-US"/>
              </w:rPr>
              <w:t>; wyd. Helion, Gliwice 2019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Nakład pracy studenta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nakładu pracy studenta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(udział w zajęciach, aktywność, przygotowanie sprawozdania, itp.)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Obciążenie studenta [h]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</w:tr>
      <w:tr>
        <w:trPr>
          <w:trHeight w:val="584" w:hRule="atLeast"/>
        </w:trPr>
        <w:tc>
          <w:tcPr>
            <w:tcW w:w="4624" w:type="dxa"/>
            <w:gridSpan w:val="2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 ocenie (opinii) nauczyciela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Godziny kontaktowe z nauczycielem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E-learning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ćwiczeń/seminarium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Czytanie wskazanej literatury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30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prac pisemnych (zadań)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kolokwium/kartkówki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Przygotowanie do testu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Sumaryczne obciążenie pracy studenta</w:t>
            </w:r>
          </w:p>
        </w:tc>
        <w:tc>
          <w:tcPr>
            <w:tcW w:w="5439" w:type="dxa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75</w:t>
            </w:r>
          </w:p>
        </w:tc>
      </w:tr>
      <w:tr>
        <w:trPr>
          <w:trHeight w:val="400" w:hRule="atLeast"/>
        </w:trPr>
        <w:tc>
          <w:tcPr>
            <w:tcW w:w="46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Punkty ECTS</w:t>
            </w:r>
          </w:p>
        </w:tc>
        <w:tc>
          <w:tcPr>
            <w:tcW w:w="543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3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D9D9D9" w:themeFill="background1" w:themeFillShade="d9" w:val="clear"/>
            <w:vAlign w:val="center"/>
          </w:tcPr>
          <w:p>
            <w:pPr>
              <w:pStyle w:val="Normal"/>
              <w:rPr>
                <w:rFonts w:eastAsia="Calibri"/>
                <w:b/>
                <w:lang w:eastAsia="en-US"/>
              </w:rPr>
            </w:pPr>
            <w:r>
              <w:rPr>
                <w:rFonts w:eastAsia="Calibri"/>
                <w:b/>
                <w:lang w:eastAsia="en-US"/>
              </w:rPr>
              <w:t>Uwagi</w:t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00" w:hRule="atLeast"/>
        </w:trPr>
        <w:tc>
          <w:tcPr>
            <w:tcW w:w="10062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FORMA ZALICZENIA:</w:t>
            </w:r>
          </w:p>
          <w:p>
            <w:pPr>
              <w:pStyle w:val="Normal"/>
              <w:rPr>
                <w:rFonts w:eastAsia="Calibri"/>
                <w:b/>
                <w:bCs/>
                <w:lang w:eastAsia="en-US"/>
              </w:rPr>
            </w:pPr>
            <w:r>
              <w:rPr>
                <w:rFonts w:eastAsia="Calibri"/>
                <w:b/>
                <w:bCs/>
                <w:lang w:eastAsia="en-US"/>
              </w:rPr>
              <w:t>Obecność oraz aktywne uczestniczenie w seminariach i twórcze wykorzystanie zdobytych umiejętności w praktyce złożą się na indywidualną ocenę studenta na koniec zajęć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WARUNEK ZALICZENIA:</w:t>
            </w:r>
          </w:p>
          <w:p>
            <w:pPr>
              <w:pStyle w:val="ListParagraph"/>
              <w:numPr>
                <w:ilvl w:val="0"/>
                <w:numId w:val="1"/>
              </w:num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Aktywne uczestnictwo w pracach grupowych i indywidualnych podczas zajęć,</w:t>
            </w:r>
          </w:p>
          <w:p>
            <w:pPr>
              <w:pStyle w:val="ListParagraph"/>
              <w:numPr>
                <w:ilvl w:val="0"/>
                <w:numId w:val="1"/>
              </w:numPr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obecność na wszystkich zajęciach lub usprawiedliwienie oraz nadrobienie nieobecności (w sposób określony przez wykładowcę) - zgodnie z Regulaminem studiów PUM</w:t>
            </w:r>
          </w:p>
          <w:p>
            <w:pPr>
              <w:pStyle w:val="Normal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</w:r>
          </w:p>
        </w:tc>
        <w:tc>
          <w:tcPr>
            <w:tcW w:w="1" w:type="dxa"/>
            <w:tcBorders/>
          </w:tcPr>
          <w:p>
            <w:pPr>
              <w:pStyle w:val="Normal"/>
              <w:rPr/>
            </w:pPr>
            <w:r>
              <w:rPr/>
            </w:r>
          </w:p>
        </w:tc>
      </w:tr>
    </w:tbl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*Przykładowe sposoby weryfikacji efektów kształcenia: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 – egzamin pisemny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EU - egzamin ustny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ET – egzamin testowy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EPR – egzamin praktyczny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K – kolokwium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 – referat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 – sprawdzenie umiejętności praktycznych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RZĆ – raport z ćwiczeń z dyskusją wyników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O - ocena aktywności i postawy studenta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SL - sprawozdanie laboratoryjne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SP – studium przypadku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PS - ocena umiejętności pracy samodzielnej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W – kartkówka przed rozpoczęciem zajęć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PM – prezentacja multimedialna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  <w:t>i inne</w:t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p>
      <w:pPr>
        <w:pStyle w:val="Normal"/>
        <w:rPr>
          <w:rFonts w:eastAsia="Calibri"/>
          <w:lang w:eastAsia="en-US"/>
        </w:rPr>
      </w:pPr>
      <w:r>
        <w:rPr>
          <w:rFonts w:eastAsia="Calibri"/>
          <w:lang w:eastAsia="en-US"/>
        </w:rPr>
      </w:r>
    </w:p>
    <w:sectPr>
      <w:footerReference w:type="default" r:id="rId5"/>
      <w:type w:val="nextPage"/>
      <w:pgSz w:w="11906" w:h="16838"/>
      <w:pgMar w:left="851" w:right="991" w:gutter="0" w:header="0" w:top="567" w:footer="82" w:bottom="567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Times New Roman">
    <w:charset w:val="ee"/>
    <w:family w:val="roman"/>
    <w:pitch w:val="variable"/>
  </w:font>
  <w:font w:name="Tahoma">
    <w:charset w:val="ee"/>
    <w:family w:val="roman"/>
    <w:pitch w:val="variable"/>
  </w:font>
  <w:font w:name="Liberation Sans">
    <w:altName w:val="Arial"/>
    <w:charset w:val="ee"/>
    <w:family w:val="roman"/>
    <w:pitch w:val="variable"/>
  </w:font>
  <w:font w:name="Arial">
    <w:charset w:val="ee"/>
    <w:family w:val="roman"/>
    <w:pitch w:val="variable"/>
  </w:font>
  <w:font w:name="Aptos">
    <w:charset w:val="01"/>
    <w:family w:val="auto"/>
    <w:pitch w:val="default"/>
  </w:font>
  <w:font w:name="Courier New">
    <w:charset w:val="01"/>
    <w:family w:val="modern"/>
    <w:pitch w:val="fixed"/>
  </w:font>
  <w:font w:name="Wingdings">
    <w:charset w:val="02"/>
    <w:family w:val="auto"/>
    <w:pitch w:val="variable"/>
  </w:font>
  <w:font w:name="Times New Roman">
    <w:charset w:val="01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rPr>
        <w:sz w:val="16"/>
      </w:rPr>
    </w:pPr>
    <w:r>
      <w:rPr>
        <w:sz w:val="16"/>
      </w:rPr>
    </w:r>
  </w:p>
  <w:p>
    <w:pPr>
      <w:pStyle w:val="Footer"/>
      <w:jc w:val="right"/>
      <w:rPr>
        <w:sz w:val="16"/>
      </w:rPr>
    </w:pPr>
    <w:r>
      <w:rPr>
        <w:sz w:val="16"/>
      </w:rPr>
      <w:t xml:space="preserve">Strona </w:t>
    </w:r>
    <w:r>
      <w:rPr>
        <w:b/>
        <w:sz w:val="16"/>
      </w:rPr>
      <w:fldChar w:fldCharType="begin"/>
    </w:r>
    <w:r>
      <w:rPr>
        <w:sz w:val="16"/>
        <w:b/>
      </w:rPr>
      <w:instrText xml:space="preserve"> PAGE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  <w:r>
      <w:rPr>
        <w:sz w:val="16"/>
      </w:rPr>
      <w:t xml:space="preserve"> z </w:t>
    </w:r>
    <w:r>
      <w:rPr>
        <w:b/>
        <w:sz w:val="16"/>
      </w:rPr>
      <w:fldChar w:fldCharType="begin"/>
    </w:r>
    <w:r>
      <w:rPr>
        <w:sz w:val="16"/>
        <w:b/>
      </w:rPr>
      <w:instrText xml:space="preserve"> NUMPAGES </w:instrText>
    </w:r>
    <w:r>
      <w:rPr>
        <w:sz w:val="16"/>
        <w:b/>
      </w:rPr>
      <w:fldChar w:fldCharType="separate"/>
    </w:r>
    <w:r>
      <w:rPr>
        <w:sz w:val="16"/>
        <w:b/>
      </w:rPr>
      <w:t>4</w:t>
    </w:r>
    <w:r>
      <w:rPr>
        <w:sz w:val="16"/>
        <w:b/>
      </w:rPr>
      <w:fldChar w:fldCharType="end"/>
    </w:r>
  </w:p>
</w:ft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Aptos" w:hAnsi="Aptos" w:cs="Aptos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">
    <w:lvl w:ilvl="0">
      <w:start w:val="1"/>
      <w:numFmt w:val="bullet"/>
      <w:lvlText w:val="□"/>
      <w:lvlJc w:val="center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>
    <w:lvl w:ilvl="0">
      <w:start w:val="1"/>
      <w:numFmt w:val="bullet"/>
      <w:lvlText w:val="□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4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w="http://schemas.openxmlformats.org/wordprocessingml/2006/main">
  <w:zoom w:percent="130"/>
  <w:embedSystemFonts/>
  <w:defaultTabStop w:val="708"/>
  <w:autoHyphenation w:val="true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themeFontLang w:val="pl-PL" w:eastAsia="ja-JP" w:bidi="ar-SA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pl-PL" w:eastAsia="ja-JP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c567b9"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pl-PL" w:eastAsia="pl-PL" w:bidi="ar-SA"/>
    </w:rPr>
  </w:style>
  <w:style w:type="paragraph" w:styleId="Heading1">
    <w:name w:val="Heading 1"/>
    <w:basedOn w:val="Normal"/>
    <w:next w:val="Normal"/>
    <w:link w:val="Nagwek1Znak"/>
    <w:qFormat/>
    <w:pPr>
      <w:keepNext w:val="true"/>
      <w:outlineLvl w:val="0"/>
    </w:pPr>
    <w:rPr>
      <w:b/>
      <w:bCs/>
    </w:rPr>
  </w:style>
  <w:style w:type="character" w:styleId="DefaultParagraphFont" w:default="1">
    <w:name w:val="Default Paragraph Font"/>
    <w:uiPriority w:val="1"/>
    <w:unhideWhenUsed/>
    <w:qFormat/>
    <w:rPr/>
  </w:style>
  <w:style w:type="character" w:styleId="Hyperlink">
    <w:name w:val="Hyperlink"/>
    <w:uiPriority w:val="99"/>
    <w:unhideWhenUsed/>
    <w:rsid w:val="00ef78c4"/>
    <w:rPr>
      <w:strike w:val="false"/>
      <w:dstrike w:val="false"/>
      <w:color w:val="BE0404"/>
      <w:u w:val="none"/>
      <w:effect w:val="none"/>
    </w:rPr>
  </w:style>
  <w:style w:type="character" w:styleId="Annotationreference">
    <w:name w:val="annotation reference"/>
    <w:uiPriority w:val="99"/>
    <w:semiHidden/>
    <w:unhideWhenUsed/>
    <w:qFormat/>
    <w:rsid w:val="00c02770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Annotationtext"/>
    <w:uiPriority w:val="99"/>
    <w:semiHidden/>
    <w:qFormat/>
    <w:rsid w:val="00c02770"/>
    <w:rPr/>
  </w:style>
  <w:style w:type="character" w:styleId="TematkomentarzaZnak" w:customStyle="1">
    <w:name w:val="Temat komentarza Znak"/>
    <w:link w:val="Annotationsubject"/>
    <w:uiPriority w:val="99"/>
    <w:semiHidden/>
    <w:qFormat/>
    <w:rsid w:val="00c02770"/>
    <w:rPr>
      <w:b/>
      <w:bCs/>
    </w:rPr>
  </w:style>
  <w:style w:type="character" w:styleId="TekstdymkaZnak" w:customStyle="1">
    <w:name w:val="Tekst dymka Znak"/>
    <w:link w:val="BalloonText"/>
    <w:uiPriority w:val="99"/>
    <w:semiHidden/>
    <w:qFormat/>
    <w:rsid w:val="00c02770"/>
    <w:rPr>
      <w:rFonts w:ascii="Tahoma" w:hAnsi="Tahoma" w:cs="Tahoma"/>
      <w:sz w:val="16"/>
      <w:szCs w:val="16"/>
    </w:rPr>
  </w:style>
  <w:style w:type="character" w:styleId="TekstprzypisudolnegoZnak" w:customStyle="1">
    <w:name w:val="Tekst przypisu dolnego Znak"/>
    <w:basedOn w:val="DefaultParagraphFont"/>
    <w:uiPriority w:val="99"/>
    <w:semiHidden/>
    <w:qFormat/>
    <w:rsid w:val="00190dc4"/>
    <w:rPr/>
  </w:style>
  <w:style w:type="character" w:styleId="Znakiprzypiswdolnych">
    <w:name w:val="Znaki przypisów dolnych"/>
    <w:uiPriority w:val="99"/>
    <w:semiHidden/>
    <w:unhideWhenUsed/>
    <w:qFormat/>
    <w:rsid w:val="00190dc4"/>
    <w:rPr>
      <w:vertAlign w:val="superscript"/>
    </w:rPr>
  </w:style>
  <w:style w:type="character" w:styleId="FootnoteReference">
    <w:name w:val="Footnote Reference"/>
    <w:rPr>
      <w:vertAlign w:val="superscript"/>
    </w:rPr>
  </w:style>
  <w:style w:type="character" w:styleId="Nagwek1Znak" w:customStyle="1">
    <w:name w:val="Nagłówek 1 Znak"/>
    <w:qFormat/>
    <w:rsid w:val="00190dc4"/>
    <w:rPr>
      <w:b/>
      <w:bCs/>
      <w:sz w:val="24"/>
      <w:szCs w:val="24"/>
    </w:rPr>
  </w:style>
  <w:style w:type="character" w:styleId="NagwekZnak" w:customStyle="1">
    <w:name w:val="Nagłówek Znak"/>
    <w:uiPriority w:val="99"/>
    <w:qFormat/>
    <w:rsid w:val="00146b7d"/>
    <w:rPr>
      <w:sz w:val="24"/>
      <w:szCs w:val="24"/>
    </w:rPr>
  </w:style>
  <w:style w:type="character" w:styleId="StopkaZnak" w:customStyle="1">
    <w:name w:val="Stopka Znak"/>
    <w:uiPriority w:val="99"/>
    <w:qFormat/>
    <w:rsid w:val="00146b7d"/>
    <w:rPr>
      <w:sz w:val="24"/>
      <w:szCs w:val="24"/>
    </w:rPr>
  </w:style>
  <w:style w:type="character" w:styleId="TekstprzypisukocowegoZnak" w:customStyle="1">
    <w:name w:val="Tekst przypisu końcowego Znak"/>
    <w:basedOn w:val="DefaultParagraphFont"/>
    <w:uiPriority w:val="99"/>
    <w:semiHidden/>
    <w:qFormat/>
    <w:rsid w:val="00942aac"/>
    <w:rPr/>
  </w:style>
  <w:style w:type="character" w:styleId="Znakiprzypiswkocowych">
    <w:name w:val="Znaki przypisów końcowych"/>
    <w:uiPriority w:val="99"/>
    <w:semiHidden/>
    <w:unhideWhenUsed/>
    <w:qFormat/>
    <w:rsid w:val="00942aac"/>
    <w:rPr>
      <w:vertAlign w:val="superscript"/>
    </w:rPr>
  </w:style>
  <w:style w:type="character" w:styleId="EndnoteReference">
    <w:name w:val="Endnote Reference"/>
    <w:rPr>
      <w:vertAlign w:val="superscript"/>
    </w:rPr>
  </w:style>
  <w:style w:type="character" w:styleId="UnresolvedMention">
    <w:name w:val="Unresolved Mention"/>
    <w:uiPriority w:val="99"/>
    <w:semiHidden/>
    <w:unhideWhenUsed/>
    <w:qFormat/>
    <w:rsid w:val="00c162a4"/>
    <w:rPr>
      <w:color w:val="605E5C"/>
      <w:shd w:fill="E1DFDD" w:val="clear"/>
    </w:rPr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BodyText">
    <w:name w:val="Body Text"/>
    <w:basedOn w:val="Normal"/>
    <w:pPr>
      <w:spacing w:lineRule="auto" w:line="192"/>
    </w:pPr>
    <w:rPr>
      <w:rFonts w:ascii="Arial" w:hAnsi="Arial" w:cs="Arial"/>
      <w:sz w:val="28"/>
      <w:szCs w:val="20"/>
    </w:rPr>
  </w:style>
  <w:style w:type="paragraph" w:styleId="List">
    <w:name w:val="List"/>
    <w:basedOn w:val="BodyText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ks">
    <w:name w:val="Indeks"/>
    <w:basedOn w:val="Normal"/>
    <w:qFormat/>
    <w:pPr>
      <w:suppressLineNumbers/>
    </w:pPr>
    <w:rPr>
      <w:rFonts w:cs="Lucida Sans"/>
    </w:rPr>
  </w:style>
  <w:style w:type="paragraph" w:styleId="BodyTextIndent">
    <w:name w:val="Body Text Indent"/>
    <w:basedOn w:val="Normal"/>
    <w:pPr>
      <w:spacing w:lineRule="auto" w:line="192"/>
      <w:ind w:left="360"/>
    </w:pPr>
    <w:rPr>
      <w:rFonts w:ascii="Arial" w:hAnsi="Arial" w:cs="Arial"/>
      <w:sz w:val="28"/>
      <w:szCs w:val="20"/>
    </w:rPr>
  </w:style>
  <w:style w:type="paragraph" w:styleId="NormalWeb">
    <w:name w:val="Normal (Web)"/>
    <w:basedOn w:val="Normal"/>
    <w:uiPriority w:val="99"/>
    <w:qFormat/>
    <w:rsid w:val="00e30deb"/>
    <w:pPr>
      <w:spacing w:beforeAutospacing="1" w:afterAutospacing="1"/>
    </w:pPr>
    <w:rPr/>
  </w:style>
  <w:style w:type="paragraph" w:styleId="Annotationtext">
    <w:name w:val="annotation text"/>
    <w:basedOn w:val="Normal"/>
    <w:link w:val="TekstkomentarzaZnak"/>
    <w:uiPriority w:val="99"/>
    <w:semiHidden/>
    <w:unhideWhenUsed/>
    <w:qFormat/>
    <w:rsid w:val="00c02770"/>
    <w:pPr/>
    <w:rPr>
      <w:sz w:val="20"/>
      <w:szCs w:val="20"/>
    </w:rPr>
  </w:style>
  <w:style w:type="paragraph" w:styleId="Annotationsubject">
    <w:name w:val="annotation subject"/>
    <w:basedOn w:val="Annotationtext"/>
    <w:next w:val="Annotationtext"/>
    <w:link w:val="TematkomentarzaZnak"/>
    <w:uiPriority w:val="99"/>
    <w:semiHidden/>
    <w:unhideWhenUsed/>
    <w:qFormat/>
    <w:rsid w:val="00c02770"/>
    <w:pPr/>
    <w:rPr>
      <w:b/>
      <w:bCs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c02770"/>
    <w:pPr/>
    <w:rPr>
      <w:rFonts w:ascii="Tahoma" w:hAnsi="Tahoma"/>
      <w:sz w:val="16"/>
      <w:szCs w:val="16"/>
    </w:rPr>
  </w:style>
  <w:style w:type="paragraph" w:styleId="FootnoteText">
    <w:name w:val="Footnote Text"/>
    <w:basedOn w:val="Normal"/>
    <w:link w:val="TekstprzypisudolnegoZnak"/>
    <w:uiPriority w:val="99"/>
    <w:semiHidden/>
    <w:unhideWhenUsed/>
    <w:rsid w:val="00190dc4"/>
    <w:pPr/>
    <w:rPr>
      <w:sz w:val="20"/>
      <w:szCs w:val="20"/>
    </w:rPr>
  </w:style>
  <w:style w:type="paragraph" w:styleId="Gwkaistopka">
    <w:name w:val="Główka i stopka"/>
    <w:basedOn w:val="Normal"/>
    <w:qFormat/>
    <w:pPr/>
    <w:rPr/>
  </w:style>
  <w:style w:type="paragraph" w:styleId="Header">
    <w:name w:val="Header"/>
    <w:basedOn w:val="Normal"/>
    <w:link w:val="Nagwek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Footer">
    <w:name w:val="Footer"/>
    <w:basedOn w:val="Normal"/>
    <w:link w:val="StopkaZnak"/>
    <w:uiPriority w:val="99"/>
    <w:unhideWhenUsed/>
    <w:rsid w:val="00146b7d"/>
    <w:pPr>
      <w:tabs>
        <w:tab w:val="clear" w:pos="708"/>
        <w:tab w:val="center" w:pos="4536" w:leader="none"/>
        <w:tab w:val="right" w:pos="9072" w:leader="none"/>
      </w:tabs>
    </w:pPr>
    <w:rPr/>
  </w:style>
  <w:style w:type="paragraph" w:styleId="EndnoteText">
    <w:name w:val="Endnote Text"/>
    <w:basedOn w:val="Normal"/>
    <w:link w:val="TekstprzypisukocowegoZnak"/>
    <w:uiPriority w:val="99"/>
    <w:semiHidden/>
    <w:unhideWhenUsed/>
    <w:rsid w:val="00942aac"/>
    <w:pPr/>
    <w:rPr>
      <w:sz w:val="20"/>
      <w:szCs w:val="20"/>
    </w:rPr>
  </w:style>
  <w:style w:type="paragraph" w:styleId="ListParagraph">
    <w:name w:val="List Paragraph"/>
    <w:basedOn w:val="Normal"/>
    <w:uiPriority w:val="34"/>
    <w:qFormat/>
    <w:rsid w:val="3fff7563"/>
    <w:pPr>
      <w:spacing w:before="0" w:after="0"/>
      <w:ind w:left="72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oleObject" Target="embeddings/oleObject1.bin"/><Relationship Id="rId4" Type="http://schemas.openxmlformats.org/officeDocument/2006/relationships/image" Target="media/image2.wmf"/><Relationship Id="rId5" Type="http://schemas.openxmlformats.org/officeDocument/2006/relationships/footer" Target="footer1.xml"/><Relationship Id="rId6" Type="http://schemas.openxmlformats.org/officeDocument/2006/relationships/numbering" Target="numbering.xml"/><Relationship Id="rId7" Type="http://schemas.openxmlformats.org/officeDocument/2006/relationships/fontTable" Target="fontTable.xml"/><Relationship Id="rId8" Type="http://schemas.openxmlformats.org/officeDocument/2006/relationships/settings" Target="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Relationship Id="rId11" Type="http://schemas.openxmlformats.org/officeDocument/2006/relationships/customXml" Target="../customXml/item2.xml"/><Relationship Id="rId12" Type="http://schemas.openxmlformats.org/officeDocument/2006/relationships/customXml" Target="../customXml/item3.xml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_rels/item2.xml.rels><?xml version="1.0" encoding="UTF-8"?>
<Relationships xmlns="http://schemas.openxmlformats.org/package/2006/relationships"><Relationship Id="rId1" Type="http://schemas.openxmlformats.org/officeDocument/2006/relationships/customXmlProps" Target="itemProps2.xml"/>
</Relationships>
</file>

<file path=customXml/_rels/item3.xml.rels><?xml version="1.0" encoding="UTF-8"?>
<Relationships xmlns="http://schemas.openxmlformats.org/package/2006/relationships"><Relationship Id="rId1" Type="http://schemas.openxmlformats.org/officeDocument/2006/relationships/customXmlProps" Target="itemProps3.xml"/>
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689397B8C4AAF4189A18E80A80654D9" ma:contentTypeVersion="5" ma:contentTypeDescription="Utwórz nowy dokument." ma:contentTypeScope="" ma:versionID="0debe9759c2a2cb343042fd66e72a72b">
  <xsd:schema xmlns:xsd="http://www.w3.org/2001/XMLSchema" xmlns:xs="http://www.w3.org/2001/XMLSchema" xmlns:p="http://schemas.microsoft.com/office/2006/metadata/properties" xmlns:ns2="8c6066ec-3877-49a3-b10c-18a72d7ac718" xmlns:ns3="ddb6f9a8-8ab6-4529-a38f-becb8a5be8a1" targetNamespace="http://schemas.microsoft.com/office/2006/metadata/properties" ma:root="true" ma:fieldsID="0822d46b83362b463dbde8b694a5b118" ns2:_="" ns3:_="">
    <xsd:import namespace="8c6066ec-3877-49a3-b10c-18a72d7ac718"/>
    <xsd:import namespace="ddb6f9a8-8ab6-4529-a38f-becb8a5be8a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6066ec-3877-49a3-b10c-18a72d7ac71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b6f9a8-8ab6-4529-a38f-becb8a5be8a1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796B3-F011-4620-98DC-17FD60367FB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987FAAD-EBB6-4C2E-A962-2EBF78FCC7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6066ec-3877-49a3-b10c-18a72d7ac718"/>
    <ds:schemaRef ds:uri="ddb6f9a8-8ab6-4529-a38f-becb8a5be8a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FBFD635-B8F0-4EDC-8663-890509AF6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Application>LibreOffice/7.6.4.1$Windows_X86_64 LibreOffice_project/e19e193f88cd6c0525a17fb7a176ed8e6a3e2aa1</Application>
  <AppVersion>15.0000</AppVersion>
  <Pages>4</Pages>
  <Words>781</Words>
  <Characters>5072</Characters>
  <CharactersWithSpaces>5673</CharactersWithSpaces>
  <Paragraphs>200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2025-02-17T12:00:00Z</dcterms:created>
  <dc:creator>agh</dc:creator>
  <dc:description/>
  <dc:language>pl-PL</dc:language>
  <cp:lastModifiedBy/>
  <cp:lastPrinted>2019-03-28T19:35:00Z</cp:lastPrinted>
  <dcterms:modified xsi:type="dcterms:W3CDTF">2026-02-25T14:19:21Z</dcterms:modified>
  <cp:revision>13</cp:revision>
  <dc:subject/>
  <dc:title>ZARZĄDZENIE REKTORA nr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